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865265">
      <w:pPr>
        <w:rPr>
          <w:sz w:val="21"/>
          <w:szCs w:val="21"/>
        </w:rPr>
      </w:pPr>
      <w:r w:rsidRPr="0006575C">
        <w:rPr>
          <w:sz w:val="21"/>
          <w:szCs w:val="21"/>
        </w:rPr>
        <w:t>*Sign__________________________ Date___________________</w:t>
      </w:r>
    </w:p>
    <w:p w:rsidR="00865265" w:rsidRPr="0006575C" w:rsidRDefault="00865265" w:rsidP="00865265">
      <w:pPr>
        <w:pBdr>
          <w:bottom w:val="dotted" w:sz="24" w:space="1" w:color="auto"/>
        </w:pBdr>
        <w:rPr>
          <w:sz w:val="21"/>
          <w:szCs w:val="21"/>
        </w:rPr>
      </w:pPr>
    </w:p>
    <w:p w:rsidR="00865265" w:rsidRPr="0006575C" w:rsidRDefault="00865265" w:rsidP="00865265">
      <w:pPr>
        <w:rPr>
          <w:sz w:val="21"/>
          <w:szCs w:val="21"/>
        </w:rPr>
      </w:pPr>
    </w:p>
    <w:p w:rsidR="00865265" w:rsidRPr="0006575C" w:rsidRDefault="00865265" w:rsidP="00865265">
      <w:pPr>
        <w:rPr>
          <w:sz w:val="21"/>
          <w:szCs w:val="21"/>
        </w:rPr>
      </w:pPr>
      <w:r w:rsidRPr="0006575C">
        <w:rPr>
          <w:sz w:val="21"/>
          <w:szCs w:val="21"/>
        </w:rPr>
        <w:t>*</w:t>
      </w:r>
      <w:r w:rsidR="00741881" w:rsidRPr="0006575C">
        <w:rPr>
          <w:sz w:val="21"/>
          <w:szCs w:val="21"/>
        </w:rPr>
        <w:t>Take out old n</w:t>
      </w:r>
      <w:r w:rsidRPr="0006575C">
        <w:rPr>
          <w:sz w:val="21"/>
          <w:szCs w:val="21"/>
        </w:rPr>
        <w:t>ewsletter</w:t>
      </w:r>
      <w:r w:rsidR="00741881" w:rsidRPr="0006575C">
        <w:rPr>
          <w:sz w:val="21"/>
          <w:szCs w:val="21"/>
        </w:rPr>
        <w:t xml:space="preserve"> and keep current</w:t>
      </w:r>
      <w:r w:rsidRPr="0006575C">
        <w:rPr>
          <w:sz w:val="21"/>
          <w:szCs w:val="21"/>
        </w:rPr>
        <w:t xml:space="preserve"> </w:t>
      </w:r>
      <w:r w:rsidR="00232491" w:rsidRPr="0006575C">
        <w:rPr>
          <w:sz w:val="21"/>
          <w:szCs w:val="21"/>
        </w:rPr>
        <w:t>in the front of your child’s binder after signing and dating</w:t>
      </w:r>
      <w:r w:rsidRPr="0006575C">
        <w:rPr>
          <w:sz w:val="21"/>
          <w:szCs w:val="21"/>
        </w:rPr>
        <w:t>.</w:t>
      </w: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>room News –</w:t>
      </w:r>
      <w:r w:rsidR="004209A4">
        <w:rPr>
          <w:rFonts w:ascii="Segoe Media Center" w:hAnsi="Segoe Media Center"/>
          <w:b/>
          <w:sz w:val="18"/>
          <w:szCs w:val="18"/>
        </w:rPr>
        <w:t>October 24, 2016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F93F93" w:rsidRDefault="00A51358" w:rsidP="00A51358">
            <w:r>
              <w:t>Topic 5 Place Value (Continued)</w:t>
            </w:r>
          </w:p>
          <w:p w:rsidR="00A51358" w:rsidRDefault="00A51358" w:rsidP="00A51358">
            <w:pPr>
              <w:pStyle w:val="ListParagraph"/>
              <w:numPr>
                <w:ilvl w:val="0"/>
                <w:numId w:val="8"/>
              </w:numPr>
            </w:pPr>
            <w:r>
              <w:t>Students will identify the value of a digit.</w:t>
            </w:r>
          </w:p>
          <w:p w:rsidR="00A51358" w:rsidRDefault="00A51358" w:rsidP="00A51358">
            <w:pPr>
              <w:pStyle w:val="ListParagraph"/>
              <w:numPr>
                <w:ilvl w:val="0"/>
                <w:numId w:val="8"/>
              </w:numPr>
            </w:pPr>
            <w:r>
              <w:t xml:space="preserve">Students will represent a number in picture, word, and number form. (standard and expanded form) </w:t>
            </w:r>
          </w:p>
          <w:p w:rsidR="00A51358" w:rsidRDefault="00A51358" w:rsidP="00A51358">
            <w:pPr>
              <w:pStyle w:val="ListParagraph"/>
              <w:numPr>
                <w:ilvl w:val="0"/>
                <w:numId w:val="8"/>
              </w:numPr>
            </w:pPr>
            <w:r>
              <w:t>Students will tell numbers that come before and after.</w:t>
            </w:r>
          </w:p>
          <w:p w:rsidR="00A51358" w:rsidRPr="003F1917" w:rsidRDefault="00A51358" w:rsidP="00A51358">
            <w:pPr>
              <w:pStyle w:val="ListParagraph"/>
              <w:numPr>
                <w:ilvl w:val="0"/>
                <w:numId w:val="8"/>
              </w:numPr>
            </w:pPr>
            <w:r>
              <w:t xml:space="preserve">Students will use various strategies to tell 10 more or 10 less. </w:t>
            </w: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886419" w:rsidRDefault="00886419" w:rsidP="00E37596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Steps of the Scientific Method </w:t>
            </w:r>
          </w:p>
          <w:p w:rsidR="00A07020" w:rsidRDefault="00A51358" w:rsidP="00E37596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Living and Nonliving Things/ </w:t>
            </w:r>
            <w:r w:rsidR="00087BB9">
              <w:rPr>
                <w:rFonts w:ascii="Segoe Media Center" w:hAnsi="Segoe Media Center"/>
                <w:b/>
                <w:sz w:val="18"/>
                <w:szCs w:val="18"/>
              </w:rPr>
              <w:t>Natural Resources  and Human Impact</w:t>
            </w:r>
          </w:p>
          <w:p w:rsidR="00F93F93" w:rsidRDefault="00F93F93" w:rsidP="00E37596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93F93" w:rsidRDefault="00886419" w:rsidP="00F93F93">
            <w:pPr>
              <w:pStyle w:val="ListParagraph"/>
              <w:numPr>
                <w:ilvl w:val="0"/>
                <w:numId w:val="6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Students are </w:t>
            </w:r>
            <w:r w:rsidR="004209A4">
              <w:rPr>
                <w:rFonts w:ascii="Segoe Media Center" w:hAnsi="Segoe Media Center"/>
                <w:b/>
                <w:sz w:val="18"/>
                <w:szCs w:val="18"/>
              </w:rPr>
              <w:t>categorizing</w:t>
            </w:r>
            <w:r w:rsidR="00F93F93">
              <w:rPr>
                <w:rFonts w:ascii="Segoe Media Center" w:hAnsi="Segoe Media Center"/>
                <w:b/>
                <w:sz w:val="18"/>
                <w:szCs w:val="18"/>
              </w:rPr>
              <w:t xml:space="preserve"> living things by their traits.</w:t>
            </w:r>
          </w:p>
          <w:p w:rsidR="00F93F93" w:rsidRDefault="004209A4" w:rsidP="00F93F93">
            <w:pPr>
              <w:pStyle w:val="ListParagraph"/>
              <w:numPr>
                <w:ilvl w:val="0"/>
                <w:numId w:val="6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Students will be</w:t>
            </w:r>
            <w:r w:rsidR="00F93F93">
              <w:rPr>
                <w:rFonts w:ascii="Segoe Media Center" w:hAnsi="Segoe Media Center"/>
                <w:b/>
                <w:sz w:val="18"/>
                <w:szCs w:val="18"/>
              </w:rPr>
              <w:t xml:space="preserve"> working together to research animals that are endangered. In class they are discussing how humans can help prevent these animals from becoming exti</w:t>
            </w:r>
            <w:r w:rsidR="00886419">
              <w:rPr>
                <w:rFonts w:ascii="Segoe Media Center" w:hAnsi="Segoe Media Center"/>
                <w:b/>
                <w:sz w:val="18"/>
                <w:szCs w:val="18"/>
              </w:rPr>
              <w:t>nct. (</w:t>
            </w:r>
            <w:proofErr w:type="gramStart"/>
            <w:r w:rsidR="00886419">
              <w:rPr>
                <w:rFonts w:ascii="Segoe Media Center" w:hAnsi="Segoe Media Center"/>
                <w:b/>
                <w:sz w:val="18"/>
                <w:szCs w:val="18"/>
              </w:rPr>
              <w:t>bats</w:t>
            </w:r>
            <w:proofErr w:type="gramEnd"/>
            <w:r w:rsidR="00886419">
              <w:rPr>
                <w:rFonts w:ascii="Segoe Media Center" w:hAnsi="Segoe Media Center"/>
                <w:b/>
                <w:sz w:val="18"/>
                <w:szCs w:val="18"/>
              </w:rPr>
              <w:t>, pandas, turtles, whooping cranes, whales, and</w:t>
            </w:r>
            <w:r w:rsidR="00F93F93">
              <w:rPr>
                <w:rFonts w:ascii="Segoe Media Center" w:hAnsi="Segoe Media Center"/>
                <w:b/>
                <w:sz w:val="18"/>
                <w:szCs w:val="18"/>
              </w:rPr>
              <w:t xml:space="preserve"> MORE!)</w:t>
            </w:r>
          </w:p>
          <w:p w:rsidR="00A51358" w:rsidRPr="00F93F93" w:rsidRDefault="00A51358" w:rsidP="00F93F93">
            <w:pPr>
              <w:pStyle w:val="ListParagraph"/>
              <w:numPr>
                <w:ilvl w:val="0"/>
                <w:numId w:val="6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Students will become experts at identifying the needs of all living things as they match their habitats to their physical traits. </w:t>
            </w:r>
          </w:p>
          <w:p w:rsidR="00DA583F" w:rsidRDefault="00DA583F" w:rsidP="00C6566F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087BB9" w:rsidRPr="0006575C" w:rsidRDefault="00087BB9" w:rsidP="00C6566F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Key Vocabulary: reusing, recycling, pollution, litter</w:t>
            </w:r>
            <w:r w:rsidR="00A51358">
              <w:rPr>
                <w:rFonts w:ascii="Segoe Media Center" w:hAnsi="Segoe Media Center"/>
                <w:b/>
                <w:sz w:val="18"/>
                <w:szCs w:val="18"/>
              </w:rPr>
              <w:t>, habitats, life cycles, needs</w:t>
            </w:r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7B3608" w:rsidRDefault="00F93F93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Earth and Geography (Preview)</w:t>
            </w:r>
          </w:p>
          <w:p w:rsidR="00D11823" w:rsidRDefault="00D11823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087BB9" w:rsidRDefault="00087BB9" w:rsidP="00087BB9">
            <w:pPr>
              <w:pStyle w:val="ListParagraph"/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Students will begin observing landforms of different regions throughout the United States: NORTHWEST, NORTHEAST, SOUTHWEST, SOUTHEST, and CENTRAL.</w:t>
            </w:r>
          </w:p>
          <w:p w:rsidR="00087BB9" w:rsidRPr="00087BB9" w:rsidRDefault="00087BB9" w:rsidP="00087BB9">
            <w:pPr>
              <w:pStyle w:val="ListParagraph"/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Soon the class will compare and contrast PAST and PRESENT while studying the influences of Earth’s geography on the use of natural resources by a variety of Native American tribes.  </w:t>
            </w:r>
          </w:p>
          <w:p w:rsidR="009636E3" w:rsidRDefault="009636E3" w:rsidP="009636E3">
            <w:pPr>
              <w:pStyle w:val="ListParagraph"/>
              <w:ind w:left="765"/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886419" w:rsidRDefault="009234B9" w:rsidP="00D11823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237">
              <w:rPr>
                <w:rFonts w:ascii="Segoe Media Center" w:hAnsi="Segoe Media Center"/>
                <w:b/>
                <w:sz w:val="18"/>
                <w:szCs w:val="18"/>
              </w:rPr>
              <w:t>Art</w:t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Focus:</w:t>
            </w:r>
            <w:r w:rsidR="00886419">
              <w:rPr>
                <w:rFonts w:ascii="Segoe Media Center" w:hAnsi="Segoe Media Center"/>
                <w:b/>
                <w:sz w:val="18"/>
                <w:szCs w:val="18"/>
              </w:rPr>
              <w:t xml:space="preserve"> PREVIEW: Artist as scientist and Nature Crusaders: </w:t>
            </w:r>
          </w:p>
          <w:p w:rsidR="00886419" w:rsidRDefault="00886419" w:rsidP="00D11823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Walter Anderson and John James Audubon</w:t>
            </w:r>
          </w:p>
          <w:p w:rsidR="009234B9" w:rsidRPr="0006575C" w:rsidRDefault="00E01441" w:rsidP="00D11823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D11823">
              <w:rPr>
                <w:rFonts w:ascii="Segoe Media Center" w:hAnsi="Segoe Media Center"/>
                <w:b/>
                <w:sz w:val="18"/>
                <w:szCs w:val="18"/>
              </w:rPr>
              <w:t>How does landscape and weather change the mood of a piece of art? Making our own water colors of birds while considering their habitats and ecosystems.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F93F93" w:rsidRDefault="00A51358" w:rsidP="00F93F93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</w:t>
            </w:r>
            <w:r w:rsidR="004209A4">
              <w:rPr>
                <w:rFonts w:ascii="Segoe Media Center" w:hAnsi="Segoe Media Center"/>
                <w:b/>
                <w:sz w:val="18"/>
                <w:szCs w:val="18"/>
              </w:rPr>
              <w:t>ath: End of Topic 5 Test  Thursday</w:t>
            </w:r>
            <w:r w:rsidR="00886419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</w:p>
          <w:p w:rsidR="00232491" w:rsidRPr="0006575C" w:rsidRDefault="00232491" w:rsidP="00A51358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A07020">
        <w:trPr>
          <w:trHeight w:val="10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095714" w:rsidRDefault="00232491" w:rsidP="003C47BF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2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4764A1" w:rsidRPr="0006575C" w:rsidRDefault="004764A1" w:rsidP="003C47BF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 xml:space="preserve"> </w:t>
            </w: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EDB"/>
    <w:multiLevelType w:val="hybridMultilevel"/>
    <w:tmpl w:val="C19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53E7A"/>
    <w:multiLevelType w:val="hybridMultilevel"/>
    <w:tmpl w:val="088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427D6"/>
    <w:multiLevelType w:val="hybridMultilevel"/>
    <w:tmpl w:val="015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B1D6D"/>
    <w:rsid w:val="001B5BF6"/>
    <w:rsid w:val="001C5B10"/>
    <w:rsid w:val="001F5CF0"/>
    <w:rsid w:val="00207AFD"/>
    <w:rsid w:val="002124E2"/>
    <w:rsid w:val="00232491"/>
    <w:rsid w:val="00232954"/>
    <w:rsid w:val="002425EC"/>
    <w:rsid w:val="00261973"/>
    <w:rsid w:val="0026315E"/>
    <w:rsid w:val="00286371"/>
    <w:rsid w:val="002F64DE"/>
    <w:rsid w:val="00301B19"/>
    <w:rsid w:val="00313FE5"/>
    <w:rsid w:val="00326E21"/>
    <w:rsid w:val="00332A7C"/>
    <w:rsid w:val="00336C10"/>
    <w:rsid w:val="00364B82"/>
    <w:rsid w:val="00365C59"/>
    <w:rsid w:val="003B5492"/>
    <w:rsid w:val="003C47BF"/>
    <w:rsid w:val="003F1917"/>
    <w:rsid w:val="00412F37"/>
    <w:rsid w:val="00413E41"/>
    <w:rsid w:val="00414836"/>
    <w:rsid w:val="004155F6"/>
    <w:rsid w:val="004209A4"/>
    <w:rsid w:val="0044026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27556"/>
    <w:rsid w:val="00536275"/>
    <w:rsid w:val="005409BB"/>
    <w:rsid w:val="00545403"/>
    <w:rsid w:val="005A3F57"/>
    <w:rsid w:val="005C0237"/>
    <w:rsid w:val="005D0AC7"/>
    <w:rsid w:val="005D4A33"/>
    <w:rsid w:val="006028EE"/>
    <w:rsid w:val="00602DA0"/>
    <w:rsid w:val="00637C03"/>
    <w:rsid w:val="006820F9"/>
    <w:rsid w:val="00692D15"/>
    <w:rsid w:val="006E1C1A"/>
    <w:rsid w:val="006E6010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E1583"/>
    <w:rsid w:val="007F1BEC"/>
    <w:rsid w:val="0080416D"/>
    <w:rsid w:val="00831685"/>
    <w:rsid w:val="00842524"/>
    <w:rsid w:val="00852CE0"/>
    <w:rsid w:val="00865265"/>
    <w:rsid w:val="008664FF"/>
    <w:rsid w:val="00886419"/>
    <w:rsid w:val="008B1EBF"/>
    <w:rsid w:val="008B2F4D"/>
    <w:rsid w:val="008E4DF2"/>
    <w:rsid w:val="008F3DF6"/>
    <w:rsid w:val="00917C37"/>
    <w:rsid w:val="009234B9"/>
    <w:rsid w:val="009341D9"/>
    <w:rsid w:val="00936432"/>
    <w:rsid w:val="00941C1E"/>
    <w:rsid w:val="00956ED1"/>
    <w:rsid w:val="00957DEB"/>
    <w:rsid w:val="009636E3"/>
    <w:rsid w:val="009D1C0A"/>
    <w:rsid w:val="00A07020"/>
    <w:rsid w:val="00A13FC6"/>
    <w:rsid w:val="00A174FD"/>
    <w:rsid w:val="00A315C8"/>
    <w:rsid w:val="00A4400E"/>
    <w:rsid w:val="00A51358"/>
    <w:rsid w:val="00A536C7"/>
    <w:rsid w:val="00A84D2E"/>
    <w:rsid w:val="00A95EA5"/>
    <w:rsid w:val="00AC12CF"/>
    <w:rsid w:val="00AD1BCC"/>
    <w:rsid w:val="00AF032D"/>
    <w:rsid w:val="00AF5616"/>
    <w:rsid w:val="00B057FB"/>
    <w:rsid w:val="00B272AE"/>
    <w:rsid w:val="00B57EE9"/>
    <w:rsid w:val="00B6653D"/>
    <w:rsid w:val="00B8003D"/>
    <w:rsid w:val="00B92142"/>
    <w:rsid w:val="00B927E1"/>
    <w:rsid w:val="00BA2920"/>
    <w:rsid w:val="00BC7198"/>
    <w:rsid w:val="00C16A49"/>
    <w:rsid w:val="00C26C93"/>
    <w:rsid w:val="00C6566F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A1157"/>
    <w:rsid w:val="00DA583F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562C0"/>
    <w:rsid w:val="00E76E5D"/>
    <w:rsid w:val="00E85696"/>
    <w:rsid w:val="00E9075F"/>
    <w:rsid w:val="00EB0C4A"/>
    <w:rsid w:val="00F12859"/>
    <w:rsid w:val="00F1324C"/>
    <w:rsid w:val="00F14B07"/>
    <w:rsid w:val="00F26754"/>
    <w:rsid w:val="00F354C2"/>
    <w:rsid w:val="00F51318"/>
    <w:rsid w:val="00F5239F"/>
    <w:rsid w:val="00F838DF"/>
    <w:rsid w:val="00F871D0"/>
    <w:rsid w:val="00F93F93"/>
    <w:rsid w:val="00F95451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94C6-8301-4D30-86D0-F5915FBC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2011-10-24T04:55:00Z</cp:lastPrinted>
  <dcterms:created xsi:type="dcterms:W3CDTF">2016-10-24T01:14:00Z</dcterms:created>
  <dcterms:modified xsi:type="dcterms:W3CDTF">2016-10-24T01:14:00Z</dcterms:modified>
</cp:coreProperties>
</file>